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6</w:t>
      </w:r>
      <w:r>
        <w:rPr>
          <w:rFonts w:cs="Arial"/>
          <w:b/>
          <w:sz w:val="24"/>
          <w:szCs w:val="24"/>
        </w:rPr>
        <w:tab/>
      </w:r>
      <w:r>
        <w:rPr>
          <w:rFonts w:cs="Arial"/>
          <w:b/>
          <w:sz w:val="24"/>
          <w:szCs w:val="24"/>
        </w:rPr>
        <w:t>R3-</w:t>
      </w:r>
      <w:r>
        <w:rPr>
          <w:rFonts w:cs="Arial"/>
          <w:b/>
          <w:sz w:val="24"/>
          <w:szCs w:val="24"/>
          <w:lang w:eastAsia="zh-CN"/>
        </w:rPr>
        <w:t>24</w:t>
      </w:r>
      <w:r>
        <w:rPr>
          <w:rFonts w:hint="eastAsia" w:cs="Arial"/>
          <w:b/>
          <w:sz w:val="24"/>
          <w:szCs w:val="24"/>
          <w:lang w:eastAsia="zh-CN"/>
        </w:rPr>
        <w:t>7671</w:t>
      </w:r>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Orlando</w:t>
      </w:r>
      <w:r>
        <w:rPr>
          <w:rFonts w:eastAsia="PMingLiU"/>
          <w:sz w:val="24"/>
          <w:szCs w:val="28"/>
          <w:lang w:eastAsia="zh-TW"/>
        </w:rPr>
        <w:t xml:space="preserve">, </w:t>
      </w:r>
      <w:r>
        <w:rPr>
          <w:rFonts w:hint="eastAsia" w:eastAsia="PMingLiU"/>
          <w:sz w:val="24"/>
          <w:szCs w:val="28"/>
          <w:lang w:eastAsia="zh-CN"/>
        </w:rPr>
        <w:t>USA, 18</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22</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AI/ML</w:t>
      </w:r>
      <w:r>
        <w:rPr>
          <w:rFonts w:ascii="Arial" w:hAnsi="Arial"/>
          <w:sz w:val="24"/>
          <w:lang w:val="en-US" w:eastAsia="zh-CN"/>
        </w:rPr>
        <w:t xml:space="preserve"> </w:t>
      </w:r>
      <w:r>
        <w:rPr>
          <w:rFonts w:hint="eastAsia" w:ascii="Arial" w:hAnsi="Arial"/>
          <w:sz w:val="24"/>
          <w:lang w:val="en-US" w:eastAsia="zh-CN"/>
        </w:rPr>
        <w:t xml:space="preserve">for split </w:t>
      </w:r>
      <w:r>
        <w:rPr>
          <w:rFonts w:ascii="Arial" w:hAnsi="Arial"/>
          <w:sz w:val="24"/>
          <w:lang w:val="en-US" w:eastAsia="zh-CN"/>
        </w:rPr>
        <w:t>architecture</w:t>
      </w:r>
      <w:r>
        <w:rPr>
          <w:rFonts w:hint="eastAsia" w:ascii="Arial" w:hAnsi="Arial"/>
          <w:sz w:val="24"/>
          <w:lang w:val="en-US" w:eastAsia="zh-CN"/>
        </w:rPr>
        <w:t xml:space="preserve"> use cases</w:t>
      </w:r>
    </w:p>
    <w:p>
      <w:pPr>
        <w:tabs>
          <w:tab w:val="left" w:pos="1985"/>
        </w:tabs>
        <w:rPr>
          <w:rStyle w:val="105"/>
        </w:rPr>
      </w:pPr>
      <w:r>
        <w:rPr>
          <w:rFonts w:ascii="Arial" w:hAnsi="Arial"/>
          <w:b/>
          <w:sz w:val="24"/>
          <w:lang w:val="en-US"/>
        </w:rPr>
        <w:t xml:space="preserve">Source: </w:t>
      </w:r>
      <w:r>
        <w:rPr>
          <w:rFonts w:ascii="Arial" w:hAnsi="Arial"/>
          <w:b/>
          <w:sz w:val="24"/>
          <w:lang w:val="en-US"/>
        </w:rPr>
        <w:tab/>
      </w:r>
      <w:r>
        <w:rPr>
          <w:rStyle w:val="105"/>
          <w:rFonts w:hint="eastAsia"/>
        </w:rPr>
        <w:t>CMCC, ZTE, CATT</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ascii="Arial" w:hAnsi="Arial"/>
          <w:sz w:val="24"/>
          <w:lang w:val="en-US"/>
        </w:rPr>
        <w:t>Discussion</w:t>
      </w:r>
      <w:bookmarkStart w:id="6" w:name="_GoBack"/>
      <w:bookmarkEnd w:id="6"/>
    </w:p>
    <w:p>
      <w:pPr>
        <w:pStyle w:val="2"/>
        <w:numPr>
          <w:ilvl w:val="0"/>
          <w:numId w:val="8"/>
        </w:numPr>
        <w:rPr>
          <w:rFonts w:eastAsia="宋体"/>
          <w:lang w:val="en-US" w:eastAsia="zh-CN"/>
        </w:rPr>
      </w:pPr>
      <w:r>
        <w:rPr>
          <w:rFonts w:eastAsia="宋体"/>
          <w:lang w:val="en-US" w:eastAsia="zh-CN"/>
        </w:rPr>
        <w:t>Introduction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w:t>
      </w:r>
      <w:r>
        <w:rPr>
          <w:rFonts w:hint="eastAsia"/>
          <w:color w:val="000000" w:themeColor="text1"/>
          <w14:textFill>
            <w14:solidFill>
              <w14:schemeClr w14:val="tx1"/>
            </w14:solidFill>
          </w14:textFill>
        </w:rPr>
        <w:t xml:space="preserve">n RAN3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12</w:t>
      </w:r>
      <w:r>
        <w:rPr>
          <w:rFonts w:hint="eastAsia"/>
          <w:color w:val="000000" w:themeColor="text1"/>
          <w:lang w:eastAsia="zh-CN"/>
          <w14:textFill>
            <w14:solidFill>
              <w14:schemeClr w14:val="tx1"/>
            </w14:solidFill>
          </w14:textFill>
        </w:rPr>
        <w:t>4</w:t>
      </w:r>
      <w:r>
        <w:rPr>
          <w:rFonts w:hint="eastAsia"/>
          <w:color w:val="000000" w:themeColor="text1"/>
          <w14:textFill>
            <w14:solidFill>
              <w14:schemeClr w14:val="tx1"/>
            </w14:solidFill>
          </w14:textFill>
        </w:rPr>
        <w:t xml:space="preserve"> meeting, </w:t>
      </w:r>
      <w:r>
        <w:rPr>
          <w:rFonts w:hint="eastAsia"/>
          <w:color w:val="000000" w:themeColor="text1"/>
          <w:lang w:eastAsia="zh-CN"/>
          <w14:textFill>
            <w14:solidFill>
              <w14:schemeClr w14:val="tx1"/>
            </w14:solidFill>
          </w14:textFill>
        </w:rPr>
        <w:t>agreements as following have been achieved for split architecture</w:t>
      </w:r>
      <w:r>
        <w:rPr>
          <w:rFonts w:hint="eastAsia"/>
          <w:color w:val="000000" w:themeColor="text1"/>
          <w14:textFill>
            <w14:solidFill>
              <w14:schemeClr w14:val="tx1"/>
            </w14:solidFill>
          </w14:textFill>
        </w:rPr>
        <w:t>:</w:t>
      </w:r>
    </w:p>
    <w:p>
      <w:pPr>
        <w:widowControl w:val="0"/>
        <w:rPr>
          <w:rFonts w:ascii="Calibri" w:hAnsi="Calibri" w:cs="Calibri"/>
          <w:b/>
          <w:color w:val="008000"/>
          <w:sz w:val="18"/>
          <w:lang w:eastAsia="zh-CN"/>
        </w:rPr>
      </w:pPr>
      <w:r>
        <w:rPr>
          <w:rFonts w:ascii="Calibri" w:hAnsi="Calibri" w:cs="Calibri"/>
          <w:b/>
          <w:color w:val="008000"/>
          <w:sz w:val="18"/>
        </w:rPr>
        <w:t>Transferring Measured UE performance from CU-UP to CU-CP.</w:t>
      </w:r>
    </w:p>
    <w:p>
      <w:pPr>
        <w:widowControl w:val="0"/>
        <w:rPr>
          <w:rFonts w:ascii="Calibri" w:hAnsi="Calibri" w:cs="Calibri"/>
          <w:b/>
          <w:color w:val="008000"/>
          <w:sz w:val="18"/>
          <w:lang w:eastAsia="zh-CN"/>
        </w:rPr>
      </w:pPr>
      <w:r>
        <w:rPr>
          <w:rFonts w:ascii="Calibri" w:hAnsi="Calibri" w:cs="Calibri"/>
          <w:b/>
          <w:color w:val="008000"/>
          <w:sz w:val="18"/>
        </w:rPr>
        <w:t>Measured Energy Cost can be transferred from DU to CU.</w:t>
      </w:r>
    </w:p>
    <w:p>
      <w:pPr>
        <w:widowControl w:val="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in RAN3 #125 meeting, </w:t>
      </w:r>
    </w:p>
    <w:p>
      <w:pPr>
        <w:rPr>
          <w:rFonts w:ascii="Calibri" w:hAnsi="Calibri" w:eastAsia="等线" w:cs="Calibri"/>
          <w:lang w:val="en-US" w:eastAsia="zh-CN"/>
        </w:rPr>
      </w:pPr>
      <w:r>
        <w:rPr>
          <w:rFonts w:ascii="Calibri" w:hAnsi="Calibri" w:eastAsia="等线" w:cs="Calibri"/>
          <w:b/>
          <w:color w:val="008000"/>
          <w:sz w:val="18"/>
        </w:rPr>
        <w:t>The details of signaling measured UE performance metrics from DU to CU-CP and/or from CU-UP To CU-CP needs further discussion during normative phase. The above overrides the agreement “Transferring Measured UE performance from CU-UP to CU-CP.” from RAN3</w:t>
      </w:r>
      <w:r>
        <w:rPr>
          <w:rFonts w:hint="eastAsia" w:ascii="Calibri" w:hAnsi="Calibri" w:eastAsia="等线" w:cs="Calibri"/>
          <w:b/>
          <w:color w:val="008000"/>
          <w:sz w:val="18"/>
          <w:lang w:eastAsia="zh-CN"/>
        </w:rPr>
        <w:t xml:space="preserve"> </w:t>
      </w:r>
      <w:r>
        <w:rPr>
          <w:rFonts w:ascii="Calibri" w:hAnsi="Calibri" w:eastAsia="等线" w:cs="Calibri"/>
          <w:b/>
          <w:color w:val="008000"/>
          <w:sz w:val="18"/>
        </w:rPr>
        <w:t>#124.</w:t>
      </w:r>
      <w:r>
        <w:rPr>
          <w:rFonts w:ascii="Calibri" w:hAnsi="Calibri" w:eastAsia="等线" w:cs="Calibri"/>
        </w:rPr>
        <w:t xml:space="preserve">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And in RP-242385, the WI description is agreed that: </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bookmarkStart w:id="1" w:name="OLE_LINK35"/>
      <w:r>
        <w:rPr>
          <w:rFonts w:eastAsia="宋体"/>
        </w:rPr>
        <w:t>The aim of this work item is to specify new AI/ML-based use cases and introduce further enhancements to finalize the Rel-18 leftovers based on the conclusions captured in TR 38.743.</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r>
        <w:rPr>
          <w:rFonts w:eastAsia="宋体"/>
        </w:rPr>
        <w:t>The detailed objectives of the WI are listed as follows:</w:t>
      </w:r>
    </w:p>
    <w:p>
      <w:pPr>
        <w:pStyle w:val="122"/>
        <w:numPr>
          <w:ilvl w:val="0"/>
          <w:numId w:val="9"/>
        </w:numPr>
        <w:pBdr>
          <w:top w:val="single" w:color="auto" w:sz="4" w:space="1"/>
          <w:left w:val="single" w:color="auto" w:sz="4" w:space="1"/>
          <w:bottom w:val="single" w:color="auto" w:sz="4" w:space="1"/>
          <w:right w:val="single" w:color="auto" w:sz="4" w:space="1"/>
        </w:pBdr>
        <w:ind w:firstLineChars="0"/>
        <w:rPr>
          <w:rFonts w:eastAsia="宋体"/>
          <w:lang w:eastAsia="zh-CN"/>
        </w:rPr>
      </w:pPr>
      <w:r>
        <w:rPr>
          <w:rFonts w:eastAsia="宋体"/>
        </w:rPr>
        <w:t>Support of the Leftovers in Rel-18 AI/ML for NG-RAN [RAN3]:</w:t>
      </w:r>
      <w:r>
        <w:rPr>
          <w:rFonts w:hint="eastAsia" w:eastAsia="宋体"/>
          <w:lang w:eastAsia="zh-CN"/>
        </w:rPr>
        <w:t xml:space="preserve"> </w:t>
      </w:r>
      <w:r>
        <w:rPr>
          <w:rFonts w:eastAsia="宋体"/>
          <w:lang w:eastAsia="zh-CN"/>
        </w:rPr>
        <w:t>Split architecture support for Rel-18 use cases</w:t>
      </w:r>
    </w:p>
    <w:p>
      <w:pPr>
        <w:pBdr>
          <w:top w:val="single" w:color="auto" w:sz="4" w:space="1"/>
          <w:left w:val="single" w:color="auto" w:sz="4" w:space="1"/>
          <w:bottom w:val="single" w:color="auto" w:sz="4" w:space="1"/>
          <w:right w:val="single" w:color="auto" w:sz="4" w:space="1"/>
        </w:pBdr>
        <w:spacing w:before="120" w:line="280" w:lineRule="atLeast"/>
        <w:rPr>
          <w:rFonts w:eastAsia="宋体"/>
        </w:rPr>
      </w:pPr>
      <w:r>
        <w:rPr>
          <w:rFonts w:eastAsia="宋体"/>
        </w:rPr>
        <w:t>Note: Coordination with RAN2, SA5 when needed if any.</w:t>
      </w:r>
    </w:p>
    <w:bookmarkEnd w:id="1"/>
    <w:p>
      <w:pPr>
        <w:widowControl w:val="0"/>
        <w:rPr>
          <w:rFonts w:ascii="Calibri" w:hAnsi="Calibri" w:cs="Calibri"/>
          <w:b/>
          <w:color w:val="008000"/>
          <w:sz w:val="18"/>
          <w:lang w:val="en-US" w:eastAsia="zh-CN"/>
        </w:rPr>
      </w:pPr>
    </w:p>
    <w:p>
      <w:pPr>
        <w:pStyle w:val="2"/>
        <w:ind w:left="567" w:hanging="567"/>
        <w:rPr>
          <w:rFonts w:eastAsia="宋体" w:cs="Arial"/>
          <w:sz w:val="32"/>
          <w:szCs w:val="32"/>
          <w:lang w:val="en-US" w:eastAsia="zh-CN"/>
        </w:rPr>
      </w:pPr>
      <w:r>
        <w:rPr>
          <w:rFonts w:ascii="Calibri" w:hAnsi="Calibri" w:cs="Calibri"/>
          <w:i/>
          <w:iCs/>
          <w:color w:val="00B050"/>
          <w:kern w:val="2"/>
          <w:sz w:val="16"/>
          <w:szCs w:val="16"/>
        </w:rPr>
        <w:t>.</w:t>
      </w: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This paper will focus on the discussion on </w:t>
      </w:r>
      <w:r>
        <w:rPr>
          <w:color w:val="000000" w:themeColor="text1"/>
          <w:lang w:eastAsia="zh-CN"/>
          <w14:textFill>
            <w14:solidFill>
              <w14:schemeClr w14:val="tx1"/>
            </w14:solidFill>
          </w14:textFill>
        </w:rPr>
        <w:t>transferring</w:t>
      </w:r>
      <w:r>
        <w:rPr>
          <w:rFonts w:hint="eastAsia"/>
          <w:color w:val="000000" w:themeColor="text1"/>
          <w:lang w:eastAsia="zh-CN"/>
          <w14:textFill>
            <w14:solidFill>
              <w14:schemeClr w14:val="tx1"/>
            </w14:solidFill>
          </w14:textFill>
        </w:rPr>
        <w:t xml:space="preserve"> data between gNB-CU and gNB-DU for AI/ML Load Balance and Mobility Enhancement use cases. Since the topic is hardly discussed in previous R19 meetings, we propose to discuss the following with priority in this meeting.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RAN3#125bis, RAN3 received LS R3-245021 from SA5, and SA5 provides the following information: </w:t>
      </w:r>
    </w:p>
    <w:p>
      <w:pPr>
        <w:rPr>
          <w:rStyle w:val="45"/>
          <w:i w:val="0"/>
          <w:iCs w:val="0"/>
        </w:rPr>
      </w:pPr>
      <w:r>
        <w:rPr>
          <w:rStyle w:val="45"/>
        </w:rPr>
        <w:t xml:space="preserve">SA5 </w:t>
      </w:r>
      <w:r>
        <w:rPr>
          <w:rStyle w:val="45"/>
          <w:rFonts w:hint="eastAsia"/>
        </w:rPr>
        <w:t xml:space="preserve">would like to </w:t>
      </w:r>
      <w:r>
        <w:rPr>
          <w:rStyle w:val="45"/>
        </w:rPr>
        <w:t>response</w:t>
      </w:r>
      <w:r>
        <w:rPr>
          <w:rStyle w:val="45"/>
          <w:rFonts w:hint="eastAsia"/>
        </w:rPr>
        <w:t xml:space="preserve"> </w:t>
      </w:r>
      <w:r>
        <w:rPr>
          <w:rStyle w:val="45"/>
        </w:rPr>
        <w:t xml:space="preserve">to the questions with </w:t>
      </w:r>
      <w:r>
        <w:rPr>
          <w:rStyle w:val="45"/>
          <w:rFonts w:hint="eastAsia"/>
        </w:rPr>
        <w:t>the following:</w:t>
      </w:r>
    </w:p>
    <w:p>
      <w:pPr>
        <w:rPr>
          <w:rStyle w:val="45"/>
        </w:rPr>
      </w:pPr>
      <w:r>
        <w:rPr>
          <w:rStyle w:val="45"/>
        </w:rPr>
        <w:tab/>
      </w:r>
      <w:r>
        <w:rPr>
          <w:rStyle w:val="45"/>
        </w:rPr>
        <w:t>RAN3 evaluated carefully the two specifications and made the following observations with respect to TS 28.552 and TS 28.558:</w:t>
      </w:r>
    </w:p>
    <w:p>
      <w:pPr>
        <w:numPr>
          <w:ilvl w:val="0"/>
          <w:numId w:val="10"/>
        </w:numPr>
        <w:overflowPunct w:val="0"/>
        <w:autoSpaceDE w:val="0"/>
        <w:autoSpaceDN w:val="0"/>
        <w:adjustRightInd w:val="0"/>
        <w:textAlignment w:val="baseline"/>
        <w:rPr>
          <w:rStyle w:val="45"/>
        </w:rPr>
      </w:pPr>
      <w:r>
        <w:rPr>
          <w:rStyle w:val="45"/>
        </w:rPr>
        <w:t>TS 28.558 does not define M4 measurement.</w:t>
      </w:r>
    </w:p>
    <w:p>
      <w:pPr>
        <w:numPr>
          <w:ilvl w:val="0"/>
          <w:numId w:val="10"/>
        </w:numPr>
        <w:overflowPunct w:val="0"/>
        <w:autoSpaceDE w:val="0"/>
        <w:autoSpaceDN w:val="0"/>
        <w:adjustRightInd w:val="0"/>
        <w:textAlignment w:val="baseline"/>
        <w:rPr>
          <w:rStyle w:val="45"/>
        </w:rPr>
      </w:pPr>
      <w:r>
        <w:rPr>
          <w:rStyle w:val="45"/>
        </w:rPr>
        <w:t>There seems to be a misalignment between the two specifications with respect to which entity performs the measurements. In particular, RAN3 identified the following cases:</w:t>
      </w:r>
    </w:p>
    <w:p>
      <w:pPr>
        <w:numPr>
          <w:ilvl w:val="0"/>
          <w:numId w:val="11"/>
        </w:numPr>
        <w:overflowPunct w:val="0"/>
        <w:autoSpaceDE w:val="0"/>
        <w:autoSpaceDN w:val="0"/>
        <w:adjustRightInd w:val="0"/>
        <w:textAlignment w:val="baseline"/>
        <w:rPr>
          <w:rStyle w:val="45"/>
        </w:rPr>
      </w:pPr>
      <w:r>
        <w:rPr>
          <w:rStyle w:val="45"/>
        </w:rPr>
        <w:t>The “Average delay DL air-interface” is measured by the gNB-DU in TS 28.552 and by NRCellCU (for non-split and 2-split scenario) and GNBCUUPFunction (for 3-split scenario) in TS 28.558.</w:t>
      </w:r>
    </w:p>
    <w:p>
      <w:pPr>
        <w:numPr>
          <w:ilvl w:val="0"/>
          <w:numId w:val="11"/>
        </w:numPr>
        <w:overflowPunct w:val="0"/>
        <w:autoSpaceDE w:val="0"/>
        <w:autoSpaceDN w:val="0"/>
        <w:adjustRightInd w:val="0"/>
        <w:textAlignment w:val="baseline"/>
        <w:rPr>
          <w:rStyle w:val="45"/>
        </w:rPr>
      </w:pPr>
      <w:r>
        <w:rPr>
          <w:rStyle w:val="45"/>
        </w:rPr>
        <w:t>The “Average delay DL in gNB-DU” is measured by the gNB-DU in TS 28.552 and by NRCellCU (for non-split and 2-split scenario) and GNBCUUPFunction (for 3-split scenario) in TS 28.558.</w:t>
      </w:r>
    </w:p>
    <w:p>
      <w:pPr>
        <w:numPr>
          <w:ilvl w:val="0"/>
          <w:numId w:val="11"/>
        </w:numPr>
        <w:overflowPunct w:val="0"/>
        <w:autoSpaceDE w:val="0"/>
        <w:autoSpaceDN w:val="0"/>
        <w:adjustRightInd w:val="0"/>
        <w:textAlignment w:val="baseline"/>
        <w:rPr>
          <w:rStyle w:val="45"/>
        </w:rPr>
      </w:pPr>
      <w:r>
        <w:rPr>
          <w:rStyle w:val="45"/>
        </w:rPr>
        <w:t>The “UL PDCP SDU Loss Rate” is measured by the GNBCUUPFunction and NRCellCU in TS 28.552 and by GNBCUUPFunction in TS 28.558.</w:t>
      </w:r>
    </w:p>
    <w:p>
      <w:pPr>
        <w:ind w:left="720"/>
        <w:rPr>
          <w:rStyle w:val="45"/>
        </w:rPr>
      </w:pPr>
      <w:r>
        <w:rPr>
          <w:rStyle w:val="45"/>
        </w:rPr>
        <w:t>From RAN3 perspective, the above misalignment should be corrected in TS 28.558 based on TS 28.552.</w:t>
      </w:r>
    </w:p>
    <w:p>
      <w:pPr>
        <w:rPr>
          <w:rStyle w:val="45"/>
          <w:i w:val="0"/>
          <w:iCs w:val="0"/>
        </w:rPr>
      </w:pPr>
      <w:r>
        <w:rPr>
          <w:rStyle w:val="45"/>
        </w:rPr>
        <w:t>From SA5 perspective, the misalignment between TS28.558 and TS 28.552 has been corrected in TS28.558v18.1.0. The missing M4 measurement has be added into TS28.558 as attached.</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Observcation1: It is clear from this LS reply that Average delay DL needs to involve measurement collected from gNB-DU.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So for the R18 use cases: Load Balance, Mobility Enhancement, the following shall be discussed:</w:t>
      </w:r>
    </w:p>
    <w:p>
      <w:pPr>
        <w:pStyle w:val="3"/>
        <w:keepLines w:val="0"/>
        <w:spacing w:before="240" w:after="60"/>
        <w:ind w:left="567" w:hanging="567"/>
        <w:rPr>
          <w:rFonts w:cs="Arial" w:eastAsiaTheme="minorEastAsia"/>
          <w:iCs/>
          <w:sz w:val="24"/>
          <w:szCs w:val="32"/>
          <w:lang w:eastAsia="zh-CN"/>
        </w:rPr>
      </w:pPr>
      <w:r>
        <w:rPr>
          <w:rFonts w:hint="eastAsia" w:cs="Arial" w:eastAsiaTheme="minorEastAsia"/>
          <w:iCs/>
          <w:sz w:val="24"/>
          <w:szCs w:val="32"/>
          <w:lang w:eastAsia="zh-CN"/>
        </w:rPr>
        <w:t>2.1 Load Balance</w:t>
      </w:r>
    </w:p>
    <w:p>
      <w:pPr>
        <w:pStyle w:val="122"/>
        <w:numPr>
          <w:ilvl w:val="0"/>
          <w:numId w:val="12"/>
        </w:numPr>
        <w:ind w:firstLineChars="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For load balance, the UE performance feedback may be requested through Xn after HO, which includes </w:t>
      </w:r>
      <w:r>
        <w:rPr>
          <w:color w:val="000000" w:themeColor="text1"/>
          <w:lang w:eastAsia="zh-CN"/>
          <w14:textFill>
            <w14:solidFill>
              <w14:schemeClr w14:val="tx1"/>
            </w14:solidFill>
          </w14:textFill>
        </w:rPr>
        <w:t>Average UE Throughput DL</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Average UE Throughput UL</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Average Packet Delay</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Average Packet Loss</w:t>
      </w:r>
      <w:r>
        <w:rPr>
          <w:rFonts w:hint="eastAsia"/>
          <w:color w:val="000000" w:themeColor="text1"/>
          <w:lang w:eastAsia="zh-CN"/>
          <w14:textFill>
            <w14:solidFill>
              <w14:schemeClr w14:val="tx1"/>
            </w14:solidFill>
          </w14:textFill>
        </w:rPr>
        <w:t xml:space="preserve">. The Throughput DL and Throughput UL are measured in gNB-DU, Packet Loss DL is measured in gNB-DU, but Packet Loss UL is measured in gNB-CU-UP, while Packet Delay involve measurements from both gNB-DU and gNB-CU-UP.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Except </w:t>
      </w:r>
      <w:r>
        <w:rPr>
          <w:b/>
          <w:bCs/>
          <w:color w:val="000000" w:themeColor="text1"/>
          <w:lang w:eastAsia="zh-CN"/>
          <w14:textFill>
            <w14:solidFill>
              <w14:schemeClr w14:val="tx1"/>
            </w14:solidFill>
          </w14:textFill>
        </w:rPr>
        <w:t>Transferring Measured UE performance from CU-UP to CU-CP</w:t>
      </w:r>
      <w:r>
        <w:rPr>
          <w:rFonts w:hint="eastAsia"/>
          <w:b/>
          <w:bCs/>
          <w:color w:val="000000" w:themeColor="text1"/>
          <w:lang w:eastAsia="zh-CN"/>
          <w14:textFill>
            <w14:solidFill>
              <w14:schemeClr w14:val="tx1"/>
            </w14:solidFill>
          </w14:textFill>
        </w:rPr>
        <w:t xml:space="preserve">, it is also </w:t>
      </w:r>
      <w:r>
        <w:rPr>
          <w:b/>
          <w:bCs/>
          <w:color w:val="000000" w:themeColor="text1"/>
          <w:lang w:eastAsia="zh-CN"/>
          <w14:textFill>
            <w14:solidFill>
              <w14:schemeClr w14:val="tx1"/>
            </w14:solidFill>
          </w14:textFill>
        </w:rPr>
        <w:t>beneficial</w:t>
      </w:r>
      <w:r>
        <w:rPr>
          <w:rFonts w:hint="eastAsia"/>
          <w:b/>
          <w:bCs/>
          <w:color w:val="000000" w:themeColor="text1"/>
          <w:lang w:eastAsia="zh-CN"/>
          <w14:textFill>
            <w14:solidFill>
              <w14:schemeClr w14:val="tx1"/>
            </w14:solidFill>
          </w14:textFill>
        </w:rPr>
        <w:t xml:space="preserve"> to transfer UE performance data from gNB-DU to gNB-CU through F1 interface.</w:t>
      </w:r>
    </w:p>
    <w:p>
      <w:pPr>
        <w:rPr>
          <w:b/>
          <w:bCs/>
          <w:color w:val="000000" w:themeColor="text1"/>
          <w:lang w:val="en-US" w:eastAsia="zh-CN"/>
          <w14:textFill>
            <w14:solidFill>
              <w14:schemeClr w14:val="tx1"/>
            </w14:solidFill>
          </w14:textFill>
        </w:rPr>
      </w:pPr>
    </w:p>
    <w:p>
      <w:pPr>
        <w:pStyle w:val="3"/>
        <w:keepLines w:val="0"/>
        <w:spacing w:before="240" w:after="60"/>
        <w:ind w:left="567" w:hanging="567"/>
        <w:rPr>
          <w:rFonts w:cs="Arial" w:eastAsiaTheme="minorEastAsia"/>
          <w:iCs/>
          <w:sz w:val="24"/>
          <w:szCs w:val="32"/>
          <w:lang w:eastAsia="zh-CN"/>
        </w:rPr>
      </w:pPr>
      <w:r>
        <w:rPr>
          <w:rFonts w:hint="eastAsia" w:cs="Arial" w:eastAsiaTheme="minorEastAsia"/>
          <w:iCs/>
          <w:sz w:val="24"/>
          <w:szCs w:val="32"/>
          <w:lang w:eastAsia="zh-CN"/>
        </w:rPr>
        <w:t>2.2 Mobility Enhancement</w:t>
      </w:r>
    </w:p>
    <w:p>
      <w:pPr>
        <w:pStyle w:val="122"/>
        <w:numPr>
          <w:ilvl w:val="0"/>
          <w:numId w:val="12"/>
        </w:numPr>
        <w:ind w:firstLineChars="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It has been agreed that the prediction function of UE trajectory is located in gNB-CU-CP. The prediction of UE trajectory may need to collect current UE traffic metric locally. </w:t>
      </w:r>
    </w:p>
    <w:p>
      <w:pPr>
        <w:pStyle w:val="122"/>
        <w:numPr>
          <w:ilvl w:val="0"/>
          <w:numId w:val="12"/>
        </w:numPr>
        <w:ind w:firstLineChars="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The gNB needs predicted UE traffic (data volume) as input for AI/ML Training and Inference. To predict UE traffic, gNB-CU-CP needs to collect current UE traffic metric(data volume) from gNB-CU-UP and gNB-DU.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For mobility enhancement, UE traffic metric shall be reported to gNB-CU. It has been agreed to use data volume as the start point for UE traffic metric, the current DL/UL PDCP SDU Data Volume are measured in gNB-CU-UP. </w:t>
      </w:r>
      <w:r>
        <w:rPr>
          <w:color w:val="000000" w:themeColor="text1"/>
          <w:lang w:eastAsia="zh-CN"/>
          <w14:textFill>
            <w14:solidFill>
              <w14:schemeClr w14:val="tx1"/>
            </w14:solidFill>
          </w14:textFill>
        </w:rPr>
        <w:t xml:space="preserve">The cell-level UE trajectory prediction function is </w:t>
      </w:r>
      <w:r>
        <w:rPr>
          <w:rFonts w:hint="eastAsia"/>
          <w:color w:val="000000" w:themeColor="text1"/>
          <w:lang w:eastAsia="zh-CN"/>
          <w14:textFill>
            <w14:solidFill>
              <w14:schemeClr w14:val="tx1"/>
            </w14:solidFill>
          </w14:textFill>
        </w:rPr>
        <w:t xml:space="preserve">agreed to be </w:t>
      </w:r>
      <w:r>
        <w:rPr>
          <w:color w:val="000000" w:themeColor="text1"/>
          <w:lang w:eastAsia="zh-CN"/>
          <w14:textFill>
            <w14:solidFill>
              <w14:schemeClr w14:val="tx1"/>
            </w14:solidFill>
          </w14:textFill>
        </w:rPr>
        <w:t>located in gNB</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CU</w:t>
      </w:r>
      <w:r>
        <w:rPr>
          <w:rFonts w:hint="eastAsia"/>
          <w:color w:val="000000" w:themeColor="text1"/>
          <w:lang w:eastAsia="zh-CN"/>
          <w14:textFill>
            <w14:solidFill>
              <w14:schemeClr w14:val="tx1"/>
            </w14:solidFill>
          </w14:textFill>
        </w:rPr>
        <w:t>-CP</w:t>
      </w:r>
      <w:r>
        <w:rPr>
          <w:color w:val="000000" w:themeColor="text1"/>
          <w:lang w:eastAsia="zh-CN"/>
          <w14:textFill>
            <w14:solidFill>
              <w14:schemeClr w14:val="tx1"/>
            </w14:solidFill>
          </w14:textFill>
        </w:rPr>
        <w:t>.</w:t>
      </w:r>
    </w:p>
    <w:p>
      <w:pPr>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2: It is beneficial to transfer the UE traffic (data volume) from gNB-CU-UP to gNB CU-CP through E1 interface. gNB-CU-CP shall use the UE traffic (data volume) as input for predication such as UE traffic prediction. </w:t>
      </w:r>
    </w:p>
    <w:p>
      <w:pPr>
        <w:rPr>
          <w:b/>
          <w:bCs/>
          <w:color w:val="000000" w:themeColor="text1"/>
          <w:lang w:eastAsia="zh-CN"/>
          <w14:textFill>
            <w14:solidFill>
              <w14:schemeClr w14:val="tx1"/>
            </w14:solidFill>
          </w14:textFill>
        </w:rPr>
      </w:pPr>
    </w:p>
    <w:p>
      <w:pPr>
        <w:pStyle w:val="3"/>
        <w:keepLines w:val="0"/>
        <w:spacing w:before="240" w:after="60"/>
        <w:ind w:left="567" w:hanging="567"/>
        <w:rPr>
          <w:rFonts w:cs="Arial" w:eastAsiaTheme="minorEastAsia"/>
          <w:iCs/>
          <w:sz w:val="24"/>
          <w:szCs w:val="32"/>
          <w:lang w:eastAsia="zh-CN"/>
        </w:rPr>
      </w:pPr>
      <w:r>
        <w:rPr>
          <w:rFonts w:hint="eastAsia" w:cs="Arial" w:eastAsiaTheme="minorEastAsia"/>
          <w:iCs/>
          <w:sz w:val="24"/>
          <w:szCs w:val="32"/>
          <w:lang w:eastAsia="zh-CN"/>
        </w:rPr>
        <w:t>2.3 Inter-DU HO consideration</w:t>
      </w:r>
    </w:p>
    <w:p>
      <w:pPr>
        <w:rPr>
          <w:rFonts w:eastAsiaTheme="minorEastAsia"/>
          <w:lang w:eastAsia="zh-CN"/>
        </w:rPr>
      </w:pPr>
      <w:r>
        <w:rPr>
          <w:rFonts w:hint="eastAsia" w:eastAsiaTheme="minorEastAsia"/>
          <w:lang w:eastAsia="zh-CN"/>
        </w:rPr>
        <w:t xml:space="preserve">Since in R18, UE performance feedback is required after HO via Xn. Meanwhile, in split architecture, the intra CU inter DU scenarios shall also be considered. So the procedures trigger the UE performance feedback report can not only be via Xn HO, but also F1 should be considered. </w:t>
      </w:r>
    </w:p>
    <w:p>
      <w:pPr>
        <w:rPr>
          <w:rFonts w:eastAsiaTheme="minorEastAsia"/>
          <w:b/>
          <w:bCs/>
          <w:lang w:eastAsia="zh-CN"/>
        </w:rPr>
      </w:pPr>
      <w:r>
        <w:rPr>
          <w:rFonts w:hint="eastAsia" w:eastAsiaTheme="minorEastAsia"/>
          <w:b/>
          <w:bCs/>
          <w:lang w:eastAsia="zh-CN"/>
        </w:rPr>
        <w:t>Proposal 3: It is suggested to discuss how to trigger the UE performance feedback report via F1 when intra gNB-CU inter gNB-DU HO happens.</w:t>
      </w:r>
    </w:p>
    <w:p>
      <w:pPr>
        <w:rPr>
          <w:b/>
          <w:bCs/>
          <w:color w:val="000000" w:themeColor="text1"/>
          <w:lang w:eastAsia="zh-CN"/>
          <w14:textFill>
            <w14:solidFill>
              <w14:schemeClr w14:val="tx1"/>
            </w14:solidFill>
          </w14:textFill>
        </w:rPr>
      </w:pPr>
    </w:p>
    <w:p>
      <w:pPr>
        <w:pStyle w:val="3"/>
        <w:keepLines w:val="0"/>
        <w:spacing w:before="240" w:after="60"/>
        <w:ind w:left="567" w:hanging="567"/>
        <w:rPr>
          <w:rFonts w:cs="Arial" w:eastAsiaTheme="minorEastAsia"/>
          <w:iCs/>
          <w:sz w:val="24"/>
          <w:szCs w:val="32"/>
          <w:lang w:eastAsia="zh-CN"/>
        </w:rPr>
      </w:pPr>
      <w:r>
        <w:rPr>
          <w:rFonts w:hint="eastAsia" w:cs="Arial" w:eastAsiaTheme="minorEastAsia"/>
          <w:iCs/>
          <w:sz w:val="24"/>
          <w:szCs w:val="32"/>
          <w:lang w:eastAsia="zh-CN"/>
        </w:rPr>
        <w:t>2.4 Procedure Design over E1 and F1 interfaces</w:t>
      </w:r>
    </w:p>
    <w:p>
      <w:pPr>
        <w:widowControl w:val="0"/>
        <w:ind w:left="144" w:hanging="144"/>
        <w:rPr>
          <w:rFonts w:ascii="Calibri" w:hAnsi="Calibri" w:cs="Calibri"/>
          <w:b/>
          <w:color w:val="008000"/>
          <w:sz w:val="18"/>
          <w:lang w:eastAsia="zh-CN"/>
        </w:rPr>
      </w:pPr>
      <w:r>
        <w:rPr>
          <w:rFonts w:hint="eastAsia"/>
          <w:color w:val="000000" w:themeColor="text1"/>
          <w:lang w:eastAsia="zh-CN"/>
          <w14:textFill>
            <w14:solidFill>
              <w14:schemeClr w14:val="tx1"/>
            </w14:solidFill>
          </w14:textFill>
        </w:rPr>
        <w:t xml:space="preserve">In </w:t>
      </w:r>
      <w:r>
        <w:rPr>
          <w:rFonts w:hint="eastAsia"/>
          <w:color w:val="000000" w:themeColor="text1"/>
          <w:lang w:val="en-US" w:eastAsia="zh-CN"/>
          <w14:textFill>
            <w14:solidFill>
              <w14:schemeClr w14:val="tx1"/>
            </w14:solidFill>
          </w14:textFill>
        </w:rPr>
        <w:t>RAN3</w:t>
      </w:r>
      <w:r>
        <w:rPr>
          <w:rFonts w:hint="eastAsia"/>
          <w:color w:val="000000" w:themeColor="text1"/>
          <w:lang w:eastAsia="zh-CN"/>
          <w14:textFill>
            <w14:solidFill>
              <w14:schemeClr w14:val="tx1"/>
            </w14:solidFill>
          </w14:textFill>
        </w:rPr>
        <w:t>#125-bis, the WA has been achieved as following:</w:t>
      </w:r>
      <w:r>
        <w:rPr>
          <w:rFonts w:ascii="Calibri" w:hAnsi="Calibri" w:cs="Calibri"/>
          <w:b/>
          <w:color w:val="008000"/>
          <w:sz w:val="18"/>
        </w:rPr>
        <w:t xml:space="preserve"> </w:t>
      </w:r>
    </w:p>
    <w:p>
      <w:pPr>
        <w:widowControl w:val="0"/>
        <w:rPr>
          <w:rFonts w:ascii="Calibri" w:hAnsi="Calibri" w:cs="Calibri"/>
          <w:b/>
          <w:color w:val="008000"/>
          <w:sz w:val="18"/>
          <w:lang w:eastAsia="zh-CN"/>
        </w:rPr>
      </w:pPr>
      <w:r>
        <w:rPr>
          <w:rFonts w:hint="eastAsia" w:ascii="Calibri" w:hAnsi="Calibri" w:cs="Calibri"/>
          <w:b/>
          <w:color w:val="008000"/>
          <w:sz w:val="18"/>
        </w:rPr>
        <w:t>Introducing Data Collection Reporting Initiation and Data Collection Reporting procedures over F1 interface to transfer measured EC from DU to CU</w:t>
      </w:r>
      <w:r>
        <w:rPr>
          <w:rFonts w:hint="eastAsia" w:ascii="Calibri" w:hAnsi="Calibri" w:cs="Calibri"/>
          <w:b/>
          <w:color w:val="008000"/>
          <w:sz w:val="18"/>
          <w:lang w:eastAsia="zh-CN"/>
        </w:rPr>
        <w: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So it is </w:t>
      </w:r>
      <w:r>
        <w:rPr>
          <w:color w:val="000000" w:themeColor="text1"/>
          <w:lang w:eastAsia="zh-CN"/>
          <w14:textFill>
            <w14:solidFill>
              <w14:schemeClr w14:val="tx1"/>
            </w14:solidFill>
          </w14:textFill>
        </w:rPr>
        <w:t>straightforward</w:t>
      </w:r>
      <w:r>
        <w:rPr>
          <w:rFonts w:hint="eastAsia"/>
          <w:color w:val="000000" w:themeColor="text1"/>
          <w:lang w:eastAsia="zh-CN"/>
          <w14:textFill>
            <w14:solidFill>
              <w14:schemeClr w14:val="tx1"/>
            </w14:solidFill>
          </w14:textFill>
        </w:rPr>
        <w:t xml:space="preserve"> that not only EC but also the other information (UE performance) can be transferred from DU to CU using Data Collection Reporting Initiation and Data Collection Reporting procedures on F1.</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And I</w:t>
      </w:r>
      <w:r>
        <w:rPr>
          <w:rFonts w:hint="eastAsia"/>
          <w:color w:val="000000" w:themeColor="text1"/>
          <w14:textFill>
            <w14:solidFill>
              <w14:schemeClr w14:val="tx1"/>
            </w14:solidFill>
          </w14:textFill>
        </w:rPr>
        <w:t xml:space="preserve">n RAN3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12</w:t>
      </w:r>
      <w:r>
        <w:rPr>
          <w:rFonts w:hint="eastAsia"/>
          <w:color w:val="000000" w:themeColor="text1"/>
          <w:lang w:eastAsia="zh-CN"/>
          <w14:textFill>
            <w14:solidFill>
              <w14:schemeClr w14:val="tx1"/>
            </w14:solidFill>
          </w14:textFill>
        </w:rPr>
        <w:t>4</w:t>
      </w:r>
      <w:r>
        <w:rPr>
          <w:rFonts w:hint="eastAsia"/>
          <w:color w:val="000000" w:themeColor="text1"/>
          <w14:textFill>
            <w14:solidFill>
              <w14:schemeClr w14:val="tx1"/>
            </w14:solidFill>
          </w14:textFill>
        </w:rPr>
        <w:t xml:space="preserve"> meeting, </w:t>
      </w:r>
      <w:r>
        <w:rPr>
          <w:rFonts w:hint="eastAsia"/>
          <w:color w:val="000000" w:themeColor="text1"/>
          <w:lang w:eastAsia="zh-CN"/>
          <w14:textFill>
            <w14:solidFill>
              <w14:schemeClr w14:val="tx1"/>
            </w14:solidFill>
          </w14:textFill>
        </w:rPr>
        <w:t>agreements as following have been achieved for split architecture</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 xml:space="preserve"> </w:t>
      </w:r>
    </w:p>
    <w:p>
      <w:pPr>
        <w:rPr>
          <w:color w:val="000000" w:themeColor="text1"/>
          <w:lang w:eastAsia="zh-CN"/>
          <w14:textFill>
            <w14:solidFill>
              <w14:schemeClr w14:val="tx1"/>
            </w14:solidFill>
          </w14:textFill>
        </w:rPr>
      </w:pPr>
      <w:r>
        <w:rPr>
          <w:rFonts w:ascii="Calibri" w:hAnsi="Calibri" w:cs="Calibri"/>
          <w:b/>
          <w:color w:val="008000"/>
          <w:sz w:val="18"/>
        </w:rPr>
        <w:t>Transferring Measured UE performance from CU-UP to CU-CP.</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Also it is straightforward to transfer the Measured UE performance from CU-UP to CU-CP, using the similar procedures via F1 and Xn. So also introducing </w:t>
      </w:r>
      <w:r>
        <w:rPr>
          <w:color w:val="000000" w:themeColor="text1"/>
          <w:lang w:eastAsia="zh-CN"/>
          <w14:textFill>
            <w14:solidFill>
              <w14:schemeClr w14:val="tx1"/>
            </w14:solidFill>
          </w14:textFill>
        </w:rPr>
        <w:t xml:space="preserve">Data Collection Reporting Initiation and Data Collection Reporting procedures over </w:t>
      </w:r>
      <w:r>
        <w:rPr>
          <w:rFonts w:hint="eastAsia"/>
          <w:color w:val="000000" w:themeColor="text1"/>
          <w:lang w:eastAsia="zh-CN"/>
          <w14:textFill>
            <w14:solidFill>
              <w14:schemeClr w14:val="tx1"/>
            </w14:solidFill>
          </w14:textFill>
        </w:rPr>
        <w:t>E</w:t>
      </w:r>
      <w:r>
        <w:rPr>
          <w:color w:val="000000" w:themeColor="text1"/>
          <w:lang w:eastAsia="zh-CN"/>
          <w14:textFill>
            <w14:solidFill>
              <w14:schemeClr w14:val="tx1"/>
            </w14:solidFill>
          </w14:textFill>
        </w:rPr>
        <w:t xml:space="preserve">1 interface to transfer </w:t>
      </w:r>
      <w:r>
        <w:rPr>
          <w:rFonts w:hint="eastAsia"/>
          <w:color w:val="000000" w:themeColor="text1"/>
          <w:lang w:eastAsia="zh-CN"/>
          <w14:textFill>
            <w14:solidFill>
              <w14:schemeClr w14:val="tx1"/>
            </w14:solidFill>
          </w14:textFill>
        </w:rPr>
        <w:t>Measured UE performance</w:t>
      </w:r>
      <w:r>
        <w:rPr>
          <w:color w:val="000000" w:themeColor="text1"/>
          <w:lang w:eastAsia="zh-CN"/>
          <w14:textFill>
            <w14:solidFill>
              <w14:schemeClr w14:val="tx1"/>
            </w14:solidFill>
          </w14:textFill>
        </w:rPr>
        <w:t xml:space="preserve"> from </w:t>
      </w:r>
      <w:r>
        <w:rPr>
          <w:rFonts w:hint="eastAsia"/>
          <w:color w:val="000000" w:themeColor="text1"/>
          <w:lang w:eastAsia="zh-CN"/>
          <w14:textFill>
            <w14:solidFill>
              <w14:schemeClr w14:val="tx1"/>
            </w14:solidFill>
          </w14:textFill>
        </w:rPr>
        <w:t>CU-UP to CU-CP</w:t>
      </w:r>
      <w:r>
        <w:rPr>
          <w:color w:val="000000" w:themeColor="text1"/>
          <w:lang w:eastAsia="zh-CN"/>
          <w14:textFill>
            <w14:solidFill>
              <w14:schemeClr w14:val="tx1"/>
            </w14:solidFill>
          </w14:textFill>
        </w:rPr>
        <w: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To follow the design over Xn interface, the new introduced procedures over E1 and F1 interfaces shall include the Request, Response/Failure and Update messages. Different measurement shall be supported using different code points in the report characteristics request, but they can share the same Request and Update message. Both one-time and periodic collections shall be supported.</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4</w:t>
      </w:r>
      <w:r>
        <w:rPr>
          <w:b/>
          <w:bCs/>
          <w:color w:val="000000" w:themeColor="text1"/>
          <w14:textFill>
            <w14:solidFill>
              <w14:schemeClr w14:val="tx1"/>
            </w14:solidFill>
          </w14:textFill>
        </w:rPr>
        <w:t xml:space="preserve">: </w:t>
      </w:r>
      <w:r>
        <w:rPr>
          <w:rFonts w:hint="eastAsia"/>
          <w:b/>
          <w:bCs/>
          <w:color w:val="000000" w:themeColor="text1"/>
          <w:lang w:eastAsia="zh-CN"/>
          <w14:textFill>
            <w14:solidFill>
              <w14:schemeClr w14:val="tx1"/>
            </w14:solidFill>
          </w14:textFill>
        </w:rPr>
        <w:t>It is proposed to introduce a new Data Collection Reporting Initiation and Reporting procedures between gNB-CU and gNB-DU over F1 interface, to transfer UE performance. Similar as the procedures designed over Xn interfaces.</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5: It is proposed to introduce a new Data Collection Reporting Initiation and Reporting procedures between gNB-CU-UP and gNB-CU-CP over E1 interface, to transfer UE performance and UE traffic (data volume). Similar as the procedures designed over Xn interfaces.</w:t>
      </w:r>
    </w:p>
    <w:p>
      <w:pPr>
        <w:rPr>
          <w:b/>
          <w:bCs/>
          <w:color w:val="000000" w:themeColor="text1"/>
          <w:lang w:eastAsia="zh-CN"/>
          <w14:textFill>
            <w14:solidFill>
              <w14:schemeClr w14:val="tx1"/>
            </w14:solidFill>
          </w14:textFill>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additional input considerations on the rem</w:t>
      </w:r>
      <w:r>
        <w:rPr>
          <w:rFonts w:hint="eastAsia" w:eastAsia="宋体"/>
          <w:lang w:eastAsia="zh-CN"/>
        </w:rPr>
        <w:t>aining</w:t>
      </w:r>
      <w:r>
        <w:rPr>
          <w:rFonts w:eastAsia="宋体"/>
          <w:lang w:eastAsia="zh-CN"/>
        </w:rPr>
        <w:t xml:space="preserve"> issues on </w:t>
      </w:r>
      <w:r>
        <w:rPr>
          <w:rFonts w:hint="eastAsia" w:eastAsia="宋体"/>
          <w:lang w:eastAsia="zh-CN"/>
        </w:rPr>
        <w:t>AI/ML</w:t>
      </w:r>
      <w:r>
        <w:rPr>
          <w:rFonts w:eastAsia="宋体"/>
          <w:lang w:eastAsia="zh-CN"/>
        </w:rPr>
        <w:t xml:space="preserve"> for NG-RAN </w:t>
      </w:r>
      <w:r>
        <w:rPr>
          <w:rFonts w:hint="eastAsia" w:eastAsia="宋体"/>
          <w:lang w:eastAsia="zh-CN"/>
        </w:rPr>
        <w:t xml:space="preserve">split </w:t>
      </w:r>
      <w:r>
        <w:rPr>
          <w:rFonts w:eastAsia="宋体"/>
          <w:lang w:eastAsia="zh-CN"/>
        </w:rPr>
        <w:t>architecture</w:t>
      </w:r>
      <w:r>
        <w:rPr>
          <w:rFonts w:hint="eastAsia" w:eastAsia="宋体"/>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Observcation1: It is clear from this LS reply that Average delay DL needs to involve measurement collected from gNB-DU.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Except </w:t>
      </w:r>
      <w:r>
        <w:rPr>
          <w:b/>
          <w:bCs/>
          <w:color w:val="000000" w:themeColor="text1"/>
          <w:lang w:eastAsia="zh-CN"/>
          <w14:textFill>
            <w14:solidFill>
              <w14:schemeClr w14:val="tx1"/>
            </w14:solidFill>
          </w14:textFill>
        </w:rPr>
        <w:t>Transferring Measured UE performance from CU-UP to CU-CP</w:t>
      </w:r>
      <w:r>
        <w:rPr>
          <w:rFonts w:hint="eastAsia"/>
          <w:b/>
          <w:bCs/>
          <w:color w:val="000000" w:themeColor="text1"/>
          <w:lang w:eastAsia="zh-CN"/>
          <w14:textFill>
            <w14:solidFill>
              <w14:schemeClr w14:val="tx1"/>
            </w14:solidFill>
          </w14:textFill>
        </w:rPr>
        <w:t xml:space="preserve">, it is also </w:t>
      </w:r>
      <w:r>
        <w:rPr>
          <w:b/>
          <w:bCs/>
          <w:color w:val="000000" w:themeColor="text1"/>
          <w:lang w:eastAsia="zh-CN"/>
          <w14:textFill>
            <w14:solidFill>
              <w14:schemeClr w14:val="tx1"/>
            </w14:solidFill>
          </w14:textFill>
        </w:rPr>
        <w:t>beneficial</w:t>
      </w:r>
      <w:r>
        <w:rPr>
          <w:rFonts w:hint="eastAsia"/>
          <w:b/>
          <w:bCs/>
          <w:color w:val="000000" w:themeColor="text1"/>
          <w:lang w:eastAsia="zh-CN"/>
          <w14:textFill>
            <w14:solidFill>
              <w14:schemeClr w14:val="tx1"/>
            </w14:solidFill>
          </w14:textFill>
        </w:rPr>
        <w:t xml:space="preserve"> to transfer UE performance data from gNB-DU to gNB-CU through F1 interface.</w:t>
      </w:r>
    </w:p>
    <w:bookmarkEnd w:id="0"/>
    <w:p>
      <w:pPr>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2: It is beneficial to transfer the UE traffic (data volume) from gNB-CU-UP to gNB CU-CP through E1 interface. gNB-CU-CP shall use the UE traffic (data volume) as input for predication such as UE traffic prediction. </w:t>
      </w:r>
    </w:p>
    <w:p>
      <w:pPr>
        <w:rPr>
          <w:rFonts w:eastAsiaTheme="minorEastAsia"/>
          <w:b/>
          <w:bCs/>
          <w:lang w:eastAsia="zh-CN"/>
        </w:rPr>
      </w:pPr>
      <w:r>
        <w:rPr>
          <w:rFonts w:hint="eastAsia" w:eastAsiaTheme="minorEastAsia"/>
          <w:b/>
          <w:bCs/>
          <w:lang w:eastAsia="zh-CN"/>
        </w:rPr>
        <w:t>Proposal 3: It is suggested to discuss how to trigger the UE performance feedback report via F1 when intra gNB-CU inter gNB-DU HO happens.</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4</w:t>
      </w:r>
      <w:r>
        <w:rPr>
          <w:b/>
          <w:bCs/>
          <w:color w:val="000000" w:themeColor="text1"/>
          <w14:textFill>
            <w14:solidFill>
              <w14:schemeClr w14:val="tx1"/>
            </w14:solidFill>
          </w14:textFill>
        </w:rPr>
        <w:t xml:space="preserve">: </w:t>
      </w:r>
      <w:r>
        <w:rPr>
          <w:rFonts w:hint="eastAsia"/>
          <w:b/>
          <w:bCs/>
          <w:color w:val="000000" w:themeColor="text1"/>
          <w:lang w:eastAsia="zh-CN"/>
          <w14:textFill>
            <w14:solidFill>
              <w14:schemeClr w14:val="tx1"/>
            </w14:solidFill>
          </w14:textFill>
        </w:rPr>
        <w:t>It is proposed to introduce a new Data Collection Reporting Initiation and Reporting procedures between gNB-CU and gNB-DU over F1 interface, to transfer UE performance. Similar as the procedures designed over Xn interfaces.</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5: It is proposed to introduce a new Data Collection Reporting Initiation and Reporting procedures between gNB-CU-UP and gNB-CU-CP over E1 interface, to transfer UE performance and UE traffic (data volume). Similar as the procedures designed over Xn interfaces.</w:t>
      </w:r>
    </w:p>
    <w:p>
      <w:pPr>
        <w:pStyle w:val="2"/>
      </w:pPr>
      <w:r>
        <w:rPr>
          <w:rFonts w:hint="eastAsia"/>
          <w:lang w:eastAsia="zh-CN"/>
        </w:rPr>
        <w:t>4.</w:t>
      </w:r>
      <w:r>
        <w:t xml:space="preserve"> Reference</w:t>
      </w:r>
    </w:p>
    <w:p>
      <w:pPr>
        <w:numPr>
          <w:ilvl w:val="0"/>
          <w:numId w:val="13"/>
        </w:numPr>
        <w:rPr>
          <w:lang w:eastAsia="zh-CN"/>
        </w:rPr>
      </w:pPr>
      <w:bookmarkStart w:id="2" w:name="_Ref165548466"/>
      <w:bookmarkStart w:id="3" w:name="_Ref162522574"/>
      <w:bookmarkStart w:id="4" w:name="_Ref172555524"/>
      <w:r>
        <w:rPr>
          <w:lang w:eastAsia="zh-CN"/>
        </w:rPr>
        <w:t>3GPP RAN3#12</w:t>
      </w:r>
      <w:r>
        <w:rPr>
          <w:rFonts w:hint="eastAsia"/>
          <w:lang w:eastAsia="zh-CN"/>
        </w:rPr>
        <w:t>5bis</w:t>
      </w:r>
      <w:r>
        <w:rPr>
          <w:lang w:eastAsia="zh-CN"/>
        </w:rPr>
        <w:t xml:space="preserve"> Chairman’s notes (RAN3_125bis_agenda_20241018_1430_EOM)</w:t>
      </w:r>
      <w:bookmarkEnd w:id="2"/>
    </w:p>
    <w:p>
      <w:pPr>
        <w:numPr>
          <w:ilvl w:val="0"/>
          <w:numId w:val="13"/>
        </w:numPr>
        <w:rPr>
          <w:lang w:eastAsia="zh-CN"/>
        </w:rPr>
      </w:pPr>
      <w:bookmarkStart w:id="5" w:name="_Ref165569701"/>
      <w:r>
        <w:rPr>
          <w:lang w:eastAsia="zh-CN"/>
        </w:rPr>
        <w:t>RP-242385 WID Enhancements for Artificial Intelligence (AI) Machine Learning (ML) for NG-RAN (ZTE, NEC), 3GPP RAN#10</w:t>
      </w:r>
      <w:bookmarkEnd w:id="3"/>
      <w:bookmarkEnd w:id="5"/>
      <w:r>
        <w:rPr>
          <w:rFonts w:hint="eastAsia"/>
          <w:lang w:eastAsia="zh-CN"/>
        </w:rPr>
        <w:t>5</w:t>
      </w:r>
    </w:p>
    <w:p>
      <w:pPr>
        <w:numPr>
          <w:ilvl w:val="0"/>
          <w:numId w:val="13"/>
        </w:numPr>
        <w:rPr>
          <w:lang w:eastAsia="zh-CN"/>
        </w:rPr>
      </w:pPr>
      <w:r>
        <w:rPr>
          <w:lang w:eastAsia="zh-CN"/>
        </w:rPr>
        <w:t>DRAFT R3-244848 TR38.743 of AIML for NG-RAN_v1 (Release 19)</w:t>
      </w:r>
      <w:bookmarkEnd w:id="4"/>
    </w:p>
    <w:p>
      <w:pPr>
        <w:rPr>
          <w:rFonts w:eastAsiaTheme="minorEastAsia"/>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decorative"/>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0123076"/>
    <w:multiLevelType w:val="multilevel"/>
    <w:tmpl w:val="10123076"/>
    <w:lvl w:ilvl="0" w:tentative="0">
      <w:start w:val="1"/>
      <w:numFmt w:val="bullet"/>
      <w:lvlText w:val="-"/>
      <w:lvlJc w:val="left"/>
      <w:pPr>
        <w:ind w:left="440" w:hanging="440"/>
      </w:pPr>
      <w:rPr>
        <w:rFonts w:hint="default" w:ascii="@楷体" w:hAnsi="@楷体" w:eastAsia="MS Mincho"/>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5">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9">
    <w:nsid w:val="565A77AA"/>
    <w:multiLevelType w:val="multilevel"/>
    <w:tmpl w:val="565A77AA"/>
    <w:lvl w:ilvl="0" w:tentative="0">
      <w:start w:val="0"/>
      <w:numFmt w:val="bullet"/>
      <w:lvlText w:val="•"/>
      <w:lvlJc w:val="left"/>
      <w:pPr>
        <w:ind w:left="2160" w:hanging="720"/>
      </w:pPr>
      <w:rPr>
        <w:rFonts w:hint="default" w:ascii="Times New Roman" w:hAnsi="Times New Roman" w:eastAsia="Times New Roman"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11">
    <w:nsid w:val="69F810A5"/>
    <w:multiLevelType w:val="multilevel"/>
    <w:tmpl w:val="69F810A5"/>
    <w:lvl w:ilvl="0" w:tentative="0">
      <w:start w:val="1"/>
      <w:numFmt w:val="decimal"/>
      <w:lvlText w:val="%1."/>
      <w:lvlJc w:val="left"/>
      <w:pPr>
        <w:ind w:left="1440" w:hanging="720"/>
      </w:pPr>
      <w:rPr>
        <w:rFonts w:hint="default"/>
      </w:rPr>
    </w:lvl>
    <w:lvl w:ilvl="1" w:tentative="0">
      <w:start w:val="3"/>
      <w:numFmt w:val="decimal"/>
      <w:isLgl/>
      <w:lvlText w:val="%1.%2."/>
      <w:lvlJc w:val="left"/>
      <w:pPr>
        <w:ind w:left="1180" w:hanging="46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440" w:hanging="72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1800" w:hanging="1080"/>
      </w:pPr>
      <w:rPr>
        <w:rFonts w:hint="default"/>
      </w:rPr>
    </w:lvl>
    <w:lvl w:ilvl="6" w:tentative="0">
      <w:start w:val="1"/>
      <w:numFmt w:val="decimal"/>
      <w:isLgl/>
      <w:lvlText w:val="%1.%2.%3.%4.%5.%6.%7."/>
      <w:lvlJc w:val="left"/>
      <w:pPr>
        <w:ind w:left="1800" w:hanging="1080"/>
      </w:pPr>
      <w:rPr>
        <w:rFonts w:hint="default"/>
      </w:rPr>
    </w:lvl>
    <w:lvl w:ilvl="7" w:tentative="0">
      <w:start w:val="1"/>
      <w:numFmt w:val="decimal"/>
      <w:isLgl/>
      <w:lvlText w:val="%1.%2.%3.%4.%5.%6.%7.%8."/>
      <w:lvlJc w:val="left"/>
      <w:pPr>
        <w:ind w:left="2160" w:hanging="1440"/>
      </w:pPr>
      <w:rPr>
        <w:rFonts w:hint="default"/>
      </w:rPr>
    </w:lvl>
    <w:lvl w:ilvl="8" w:tentative="0">
      <w:start w:val="1"/>
      <w:numFmt w:val="decimal"/>
      <w:isLgl/>
      <w:lvlText w:val="%1.%2.%3.%4.%5.%6.%7.%8.%9."/>
      <w:lvlJc w:val="left"/>
      <w:pPr>
        <w:ind w:left="2160" w:hanging="1440"/>
      </w:pPr>
      <w:rPr>
        <w:rFonts w:hint="default"/>
      </w:rPr>
    </w:lvl>
  </w:abstractNum>
  <w:abstractNum w:abstractNumId="12">
    <w:nsid w:val="7DD51762"/>
    <w:multiLevelType w:val="multilevel"/>
    <w:tmpl w:val="7DD51762"/>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0"/>
  </w:num>
  <w:num w:numId="3">
    <w:abstractNumId w:val="6"/>
  </w:num>
  <w:num w:numId="4">
    <w:abstractNumId w:val="7"/>
  </w:num>
  <w:num w:numId="5">
    <w:abstractNumId w:val="1"/>
  </w:num>
  <w:num w:numId="6">
    <w:abstractNumId w:val="0"/>
  </w:num>
  <w:num w:numId="7">
    <w:abstractNumId w:val="5"/>
  </w:num>
  <w:num w:numId="8">
    <w:abstractNumId w:val="8"/>
  </w:num>
  <w:num w:numId="9">
    <w:abstractNumId w:val="12"/>
  </w:num>
  <w:num w:numId="10">
    <w:abstractNumId w:val="11"/>
  </w:num>
  <w:num w:numId="11">
    <w:abstractNumId w:val="9"/>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CD5"/>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AB0"/>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5C25"/>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697"/>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490"/>
    <w:rsid w:val="00317929"/>
    <w:rsid w:val="003179E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6E7"/>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381"/>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203"/>
    <w:rsid w:val="00677651"/>
    <w:rsid w:val="00677C57"/>
    <w:rsid w:val="00677E14"/>
    <w:rsid w:val="00677F09"/>
    <w:rsid w:val="00680DA3"/>
    <w:rsid w:val="00681497"/>
    <w:rsid w:val="00681C4F"/>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7B3"/>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16F"/>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780"/>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350"/>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219"/>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8"/>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037"/>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2CFA"/>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276F"/>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084"/>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5BF"/>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0F2D"/>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EF71995"/>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uiPriority w:val="0"/>
    <w:pPr>
      <w:ind w:left="1702"/>
    </w:pPr>
  </w:style>
  <w:style w:type="paragraph" w:styleId="35">
    <w:name w:val="List 4"/>
    <w:basedOn w:val="12"/>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uiPriority w:val="0"/>
    <w:pPr>
      <w:ind w:left="1702" w:hanging="284"/>
    </w:pPr>
  </w:style>
  <w:style w:type="paragraph" w:customStyle="1" w:styleId="87">
    <w:name w:val="ZTD"/>
    <w:basedOn w:val="72"/>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uiPriority w:val="0"/>
  </w:style>
  <w:style w:type="paragraph" w:customStyle="1" w:styleId="111">
    <w:name w:val="TT"/>
    <w:basedOn w:val="2"/>
    <w:next w:val="1"/>
    <w:qFormat/>
    <w:uiPriority w:val="0"/>
    <w:pPr>
      <w:outlineLvl w:val="9"/>
    </w:pPr>
  </w:style>
  <w:style w:type="paragraph" w:customStyle="1" w:styleId="112">
    <w:name w:val="样式1"/>
    <w:basedOn w:val="1"/>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99"/>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uiPriority w:val="0"/>
    <w:rPr>
      <w:rFonts w:ascii="Arial" w:hAnsi="Arial" w:eastAsia="Times New Roman"/>
      <w:b/>
      <w:sz w:val="18"/>
      <w:lang w:val="en-GB" w:eastAsia="ja-JP"/>
    </w:rPr>
  </w:style>
  <w:style w:type="character" w:customStyle="1" w:styleId="138">
    <w:name w:val="未处理的提及1"/>
    <w:basedOn w:val="43"/>
    <w:unhideWhenUsed/>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datastoreItem>
</file>

<file path=customXml/itemProps2.xml><?xml version="1.0" encoding="utf-8"?>
<ds:datastoreItem xmlns:ds="http://schemas.openxmlformats.org/officeDocument/2006/customXml" ds:itemID="{3BF4A810-D93D-484E-A039-2D71E7862879}">
  <ds:schemaRefs/>
</ds:datastoreItem>
</file>

<file path=customXml/itemProps3.xml><?xml version="1.0" encoding="utf-8"?>
<ds:datastoreItem xmlns:ds="http://schemas.openxmlformats.org/officeDocument/2006/customXml" ds:itemID="{203EDD3C-8E31-4422-A497-4792D68E8818}">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1253</Words>
  <Characters>7147</Characters>
  <Lines>59</Lines>
  <Paragraphs>16</Paragraphs>
  <TotalTime>1</TotalTime>
  <ScaleCrop>false</ScaleCrop>
  <LinksUpToDate>false</LinksUpToDate>
  <CharactersWithSpaces>8384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2024-11-08T01:36:00Z</dcterms:created>
  <dc:creator>Reem Karaki</dc:creator>
  <cp:lastModifiedBy>cmcc</cp:lastModifiedBy>
  <cp:lastPrinted>2009-04-24T04:01:00Z</cp:lastPrinted>
  <dcterms:modified xsi:type="dcterms:W3CDTF">2024-11-08T06:14:04Z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C85080B1FE9C4A269E6DB6A29419F8A3</vt:lpwstr>
  </property>
</Properties>
</file>